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55442E" w:rsidRDefault="006C382B">
      <w:pPr>
        <w:spacing w:after="0"/>
        <w:rPr>
          <w:rFonts w:ascii="Arial Narrow" w:hAnsi="Arial Narrow" w:cs="Arial"/>
          <w:color w:val="FF0000"/>
        </w:rPr>
      </w:pPr>
      <w:r w:rsidRPr="0055442E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536930" w:rsidRDefault="00536930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536930" w:rsidRDefault="00536930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536930" w:rsidRDefault="00536930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55442E" w:rsidTr="003A304E">
        <w:tc>
          <w:tcPr>
            <w:tcW w:w="422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601EF" w:rsidP="000C18CC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Pemadam Kebakaran </w:t>
            </w:r>
            <w:r w:rsidR="000C18CC" w:rsidRPr="0055442E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Penyelia</w:t>
            </w: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5442E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5442E" w:rsidTr="003A304E">
        <w:trPr>
          <w:trHeight w:val="1422"/>
        </w:trPr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55442E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55442E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55442E" w:rsidRDefault="008F307B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F307B" w:rsidRDefault="008F307B" w:rsidP="008F307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Penyelamatan dan Pemadam Kebakaran Wilayah </w:t>
            </w:r>
            <w:r w:rsidR="001E4838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4E49B5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3A304E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B010A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55442E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55442E" w:rsidTr="00F35DD5">
        <w:tc>
          <w:tcPr>
            <w:tcW w:w="42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55442E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55442E" w:rsidRDefault="0055442E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Melaksanakan Pemadaman Kebakaran </w:t>
            </w: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Pr="0055442E">
              <w:rPr>
                <w:rFonts w:ascii="Arial Narrow" w:hAnsi="Arial Narrow"/>
                <w:sz w:val="24"/>
                <w:szCs w:val="24"/>
              </w:rPr>
              <w:t>an Penyelamatan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93EE4" w:rsidRPr="0055442E" w:rsidRDefault="00893EE4" w:rsidP="00893EE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55442E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DE1FE5" w:rsidRPr="0055442E" w:rsidRDefault="00AB10DA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Paling Rendah Sarjana S-1 (Strata-Satu)/           D-4 (Diploma-Empat) bidang yang relevan dengan tugas jabatan.</w:t>
            </w: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A7274C" w:rsidRPr="0055442E" w:rsidRDefault="00AB10DA" w:rsidP="00AB10DA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Paling Rendah Sarjana S-1 (Strata-Satu)/           D-4 (Diploma-Empat) bidang yang relevan dengan tugas </w:t>
            </w: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jabatan.</w:t>
            </w:r>
            <w:r w:rsidR="00A7274C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Pendidikan</w:t>
            </w:r>
            <w:proofErr w:type="gramEnd"/>
            <w:r w:rsidR="00A7274C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pelatihan fungsional untuk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55442E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55442E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55442E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0C18CC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Pengalaman</w:t>
            </w:r>
          </w:p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55442E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55442E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135296" w:rsidRPr="00F47B36" w:rsidRDefault="001C117A" w:rsidP="0055442E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55442E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55442E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55442E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F47B36" w:rsidRPr="0055442E" w:rsidRDefault="00F47B36" w:rsidP="00F47B3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5442E" w:rsidTr="00F35DD5">
        <w:tc>
          <w:tcPr>
            <w:tcW w:w="42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55442E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5442E" w:rsidRDefault="0008442A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6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992"/>
        <w:gridCol w:w="1616"/>
        <w:gridCol w:w="936"/>
        <w:gridCol w:w="1276"/>
      </w:tblGrid>
      <w:tr w:rsidR="00B101C7" w:rsidRPr="0055442E" w:rsidTr="00605516">
        <w:trPr>
          <w:tblHeader/>
        </w:trPr>
        <w:tc>
          <w:tcPr>
            <w:tcW w:w="567" w:type="dxa"/>
          </w:tcPr>
          <w:p w:rsidR="00F35DD5" w:rsidRPr="0055442E" w:rsidRDefault="00A10383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URAIAN TUGAS</w:t>
            </w:r>
          </w:p>
        </w:tc>
        <w:tc>
          <w:tcPr>
            <w:tcW w:w="127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KEBUTUHAN PEGAWAI</w:t>
            </w: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Memverifikasi hasil pemeriksaan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kelengkapan personil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bookmarkStart w:id="0" w:name="_GoBack"/>
        <w:bookmarkEnd w:id="0"/>
      </w:tr>
      <w:tr w:rsidR="00605516" w:rsidRPr="0055442E" w:rsidTr="00605516">
        <w:tc>
          <w:tcPr>
            <w:tcW w:w="567" w:type="dxa"/>
          </w:tcPr>
          <w:p w:rsidR="00605516" w:rsidRPr="0055442E" w:rsidRDefault="00605516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apel pagi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serah terima tugas jaga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peralatan unit mobil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pengecekan peralatan unit mobil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Memverifikasi pemeriksaan kondisi unit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Menanda tangani laporan sesuai dengan form check list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piket sesuai dengan consignus jaga (tata kelola)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monitoring kekuatan personil dan unit dalam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Mengarahkan personil pada pemeriksaan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kelengkapan personil dalam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apel malam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peralatan unit mobil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pengecekan peralatan unit mobi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kondisi unit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kegiatan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kegiatan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kegiatan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kegiatan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Menerima hasil validasi informasi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Memverifikasi hasil validasi informasi kejadian kebakaran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tindak lanjut informasi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koordinasi antar regu lainnya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Bertanggungjawab pada koordinasi dengan instansi terkait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Memeriksa penggunaan APD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Memerintahkan peleton menuju ke tempat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koordinasi internal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pra size up (penilaian awal situasi) pada saat di perjalanan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Mengarahkan personil size up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(penilaian situasi) kondisi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teknik taktik strategi operasional pemadaman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prosedur pemadaman dari sumber air ke titik api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peran dan tugas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penyerangan ke sumber api/penyalur suplai air antar unit/pengelolaan sumber air/logistik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menganalisa kebutuhan unit operasional dan </w:t>
            </w:r>
          </w:p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pengerahan unit operasional dan personil tambahan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koordinasi dengan instansi terkait;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penerapan prosedur kerja dan keselamatan seluruh anggota</w:t>
            </w:r>
          </w:p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perkembangan situasi kondisi kejadian kebakaran kepada atasan;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laporan pendataan di tempat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pendinginan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Over Houl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(pemeriksaan dengan seksama) terhadap titik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hasil over houl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situasi akhir kondisi kebakaran;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proses pengemasan peralatan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pengecekan kelengkapan peralatan tingkat peleton;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apel pengecekan personil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kebersihan unit, APD dan peralatan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pengaturan penempatan kembali peralatan yang telah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digunakan;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mengevaluasi pasca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 xml:space="preserve">Dokumen 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menerima hasil validasi informasi kejadian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melaporkan hasil validasi informasi kejadian evakuasi dan penyelamatan kepada atasan;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memverifikasi tindak lanjut informasi kejadian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evakuasi dan penyelamatan;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koordinasi antar regu dan peleton lainnya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koordinasi dengan instansi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terkait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mengawasi pemakaian APD evakuasi dan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mengontrol peleton menuju ke tempat evakuasi dan penyelamatan;</w:t>
            </w:r>
          </w:p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</w:p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koordinasi internal </w:t>
            </w: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tingkat  peleton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>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pra size up (penilaian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awal situasi) pada saat di perjalanan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size up (penilaian situasi) kondisi kejadian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teknik taktik strategi operasional evakuasi dan penyelamatan teknik taktik strategi operasional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prosedur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peran dan tugas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Menganalisa kebutuhan unit operasional dan personil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Melakukankoordinasi pengerahan unit operasional dan personil tambahan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koordinasi dengan instansi terkait</w:t>
            </w:r>
          </w:p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penerapan prosedur kerja dan keselamatan seluruh anggota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72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perkembangan situasi kondisi evakuasi dan penyelamatan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Over Houl (pemeriksaan dengan seksama) terhadap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pendataan di tempat kejadian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pengemasan peralatan yang digunakan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pengecekan kelengkapan peralatan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apel pengecekan personil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kebersihan unit, APD dan peralatan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pengaturan penempatan kembali peralatan yang telah digunakan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Memvalidasi laporan evakuasi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2"/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276"/>
      </w:tblGrid>
      <w:tr w:rsidR="0055442E" w:rsidRPr="0055442E" w:rsidTr="0055442E">
        <w:trPr>
          <w:trHeight w:val="326"/>
        </w:trPr>
        <w:tc>
          <w:tcPr>
            <w:tcW w:w="7088" w:type="dxa"/>
            <w:vAlign w:val="center"/>
          </w:tcPr>
          <w:p w:rsidR="0055442E" w:rsidRPr="0055442E" w:rsidRDefault="0055442E" w:rsidP="0055442E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1276" w:type="dxa"/>
          </w:tcPr>
          <w:p w:rsidR="0055442E" w:rsidRPr="0055442E" w:rsidRDefault="008F307B" w:rsidP="000C18CC">
            <w:pPr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</w:tr>
      <w:tr w:rsidR="0055442E" w:rsidRPr="0055442E" w:rsidTr="0055442E">
        <w:tc>
          <w:tcPr>
            <w:tcW w:w="7088" w:type="dxa"/>
            <w:vAlign w:val="center"/>
          </w:tcPr>
          <w:p w:rsidR="0055442E" w:rsidRPr="0055442E" w:rsidRDefault="0055442E" w:rsidP="005544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Jumlah Pegawai</w:t>
            </w:r>
          </w:p>
        </w:tc>
        <w:tc>
          <w:tcPr>
            <w:tcW w:w="1276" w:type="dxa"/>
          </w:tcPr>
          <w:p w:rsidR="0055442E" w:rsidRPr="0055442E" w:rsidRDefault="008F307B" w:rsidP="000C18C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</w:tr>
    </w:tbl>
    <w:p w:rsidR="008009B2" w:rsidRPr="0055442E" w:rsidRDefault="008009B2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:rsidR="00D41C55" w:rsidRPr="0055442E" w:rsidRDefault="00D41C55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55442E" w:rsidTr="00712522">
        <w:tc>
          <w:tcPr>
            <w:tcW w:w="424" w:type="dxa"/>
          </w:tcPr>
          <w:p w:rsidR="008B010A" w:rsidRPr="0055442E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55442E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7344"/>
      </w:tblGrid>
      <w:tr w:rsidR="00B101C7" w:rsidRPr="0055442E" w:rsidTr="00AC643F">
        <w:trPr>
          <w:trHeight w:val="970"/>
        </w:trPr>
        <w:tc>
          <w:tcPr>
            <w:tcW w:w="706" w:type="dxa"/>
            <w:shd w:val="clear" w:color="auto" w:fill="C0C0C0"/>
            <w:vAlign w:val="center"/>
          </w:tcPr>
          <w:p w:rsidR="00712522" w:rsidRPr="0055442E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44" w:type="dxa"/>
            <w:shd w:val="clear" w:color="auto" w:fill="C0C0C0"/>
            <w:vAlign w:val="center"/>
          </w:tcPr>
          <w:p w:rsidR="00712522" w:rsidRPr="0055442E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Memverifikasi hasil pemeriksaan kelengkapan personil antar regu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pelaksanaan apel pagi tingkat peleton</w:t>
            </w:r>
          </w:p>
        </w:tc>
      </w:tr>
      <w:tr w:rsidR="00131626" w:rsidRPr="0055442E" w:rsidTr="00AC643F">
        <w:trPr>
          <w:trHeight w:val="137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serah terima tugas jaga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pemeriksaan peralatan unit mobil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pengecekan peralatan unit mobil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pemeriksaan kondisi unit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sesuai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dengan form check list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piket sesuai dengan consignus jaga (tata kelola)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monitoring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kekuatan personil dan unit dalam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kelengkapan personil dalam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apel malam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peralatan unit mobil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peralatan unit mobi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kondisi unit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pengarahan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evaluasi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kegiatan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pengarahan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kegiatan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evaluasi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kegiatan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kegiatan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hasil validasi informasi kejadian kebakaran kepada atasan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26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tindak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lanjut informasi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pengarahan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personil pada koordinasi antar regu lainnya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dengan instansi terkait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penggunaan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APD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 menuju ke tempat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pengarahan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personil pada koordinasi internal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pra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size up (penilaian awal situasi) pada saat di perjalanan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size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up (penilaian situasi) kondisi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n teknik taktik strategi operasional pemadaman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prosedur pemadaman dari sumber air ke titik api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peran dan tugas antar regu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penyerangan ke sumber api/penyalur suplai air antar unit/pengelolaan sumber air/logistik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kebutuhan unit operasional dan </w:t>
            </w:r>
          </w:p>
          <w:p w:rsidR="00131626" w:rsidRPr="0055442E" w:rsidRDefault="00131626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pengerahan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unit operasional dan personil tambahan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dengan instansi terkait;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penerapan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prosedur kerja dan keselamatan seluruh anggota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42</w:t>
            </w:r>
          </w:p>
        </w:tc>
        <w:tc>
          <w:tcPr>
            <w:tcW w:w="7344" w:type="dxa"/>
          </w:tcPr>
          <w:p w:rsidR="00131626" w:rsidRPr="0055442E" w:rsidRDefault="00431121" w:rsidP="00431121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perkembangan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situasi kondisi kejadian kebakaran kepada atasan;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laporan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pendataan di tempat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proses pendinginan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pelaksanaan Over Houl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(pemeriksaan dengan seksama) terhadap titik </w:t>
            </w:r>
          </w:p>
          <w:p w:rsidR="00131626" w:rsidRPr="0055442E" w:rsidRDefault="00131626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over houl kepada atasan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laporan situasi akhir kondisi kebakaran;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pengemasan peralatan </w:t>
            </w:r>
          </w:p>
          <w:p w:rsidR="00131626" w:rsidRPr="0055442E" w:rsidRDefault="00131626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kelengkapan peralatan tingkat peleton;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apel pengecekan personil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kebersihan unit, APD dan peralatan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pengaturan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penempatan kembali peralatan yang telah digunakan;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Dokumen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pasca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kejadian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>il</w:t>
            </w:r>
            <w:proofErr w:type="gramEnd"/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evakuasi dan penyelamatan kepada atasan;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ti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ndak lanjut informasi kejadian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evakuasi dan penyelamatan;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antar regu dan peleton lainnya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59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dengan instansi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terkait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Laporan  pemakaian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APD evakuasi dan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 menuju ke tempat evakuasi dan penyelamatan;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internal tingkat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Laporan  pra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size up (penilaian awal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situasi) pada 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aat di perjalanan evakuasi dan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size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up (penilaian situasi) kondisi kejadian 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teknik taktik strategi operasional evakuasi dan penyelamatan teknik taktik strategi operasional 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66</w:t>
            </w:r>
          </w:p>
        </w:tc>
        <w:tc>
          <w:tcPr>
            <w:tcW w:w="7344" w:type="dxa"/>
          </w:tcPr>
          <w:p w:rsidR="00131626" w:rsidRPr="0055442E" w:rsidRDefault="00431121" w:rsidP="00431121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prosedur evakuasi dan penyelamatan</w:t>
            </w:r>
          </w:p>
        </w:tc>
      </w:tr>
      <w:tr w:rsidR="00131626" w:rsidRPr="0055442E" w:rsidTr="00767465">
        <w:trPr>
          <w:trHeight w:val="352"/>
        </w:trPr>
        <w:tc>
          <w:tcPr>
            <w:tcW w:w="706" w:type="dxa"/>
            <w:tcBorders>
              <w:bottom w:val="single" w:sz="4" w:space="0" w:color="auto"/>
            </w:tcBorders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dan tugas antar regu</w:t>
            </w:r>
          </w:p>
        </w:tc>
      </w:tr>
      <w:tr w:rsidR="00131626" w:rsidRPr="0055442E" w:rsidTr="00131626">
        <w:trPr>
          <w:trHeight w:val="324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kebutuhan unit operasional dan personil evakuasi dan penyelamatan</w:t>
            </w:r>
          </w:p>
        </w:tc>
      </w:tr>
      <w:tr w:rsidR="00131626" w:rsidRPr="0055442E" w:rsidTr="00FE059E">
        <w:trPr>
          <w:trHeight w:val="699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pengerahan unit operasional dan personil tambahan evakuasi dan penyelamatan</w:t>
            </w:r>
          </w:p>
        </w:tc>
      </w:tr>
      <w:tr w:rsidR="00131626" w:rsidRPr="0055442E" w:rsidTr="00131626">
        <w:trPr>
          <w:trHeight w:val="329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koordinasi dengan instansi terkait</w:t>
            </w:r>
          </w:p>
        </w:tc>
      </w:tr>
      <w:tr w:rsidR="00131626" w:rsidRPr="0055442E" w:rsidTr="00131626">
        <w:trPr>
          <w:trHeight w:val="27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penerapan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prosedur kerja dan keselamatan seluruh anggota</w:t>
            </w:r>
          </w:p>
        </w:tc>
      </w:tr>
      <w:tr w:rsidR="00131626" w:rsidRPr="0055442E" w:rsidTr="00431121">
        <w:trPr>
          <w:trHeight w:val="21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perkembangan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situasi kondisi evakuasi dan penyelamatan kepada atasan</w:t>
            </w:r>
          </w:p>
        </w:tc>
      </w:tr>
      <w:tr w:rsidR="00131626" w:rsidRPr="0055442E" w:rsidTr="00131626">
        <w:trPr>
          <w:trHeight w:val="51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Over Houl (pemeriksaan dengan seksama) terhadap evakuasi dan penyelamatan</w:t>
            </w:r>
          </w:p>
        </w:tc>
      </w:tr>
      <w:tr w:rsidR="00131626" w:rsidRPr="0055442E" w:rsidTr="00131626">
        <w:trPr>
          <w:trHeight w:val="185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7344" w:type="dxa"/>
          </w:tcPr>
          <w:p w:rsidR="00131626" w:rsidRPr="0055442E" w:rsidRDefault="00131626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pendataan di tempat kejadian evakuasi dan penyelamatan</w:t>
            </w:r>
          </w:p>
        </w:tc>
      </w:tr>
      <w:tr w:rsidR="00131626" w:rsidRPr="0055442E" w:rsidTr="00131626">
        <w:trPr>
          <w:trHeight w:val="324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pengemasan peralatan yang digunakan</w:t>
            </w:r>
          </w:p>
        </w:tc>
      </w:tr>
      <w:tr w:rsidR="00131626" w:rsidRPr="0055442E" w:rsidTr="00431121">
        <w:trPr>
          <w:trHeight w:val="254"/>
        </w:trPr>
        <w:tc>
          <w:tcPr>
            <w:tcW w:w="706" w:type="dxa"/>
          </w:tcPr>
          <w:p w:rsidR="00131626" w:rsidRPr="0055442E" w:rsidRDefault="00131626" w:rsidP="00131626">
            <w:pPr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kelengkapan peralatan evakuasi dan penyelamatan</w:t>
            </w:r>
          </w:p>
        </w:tc>
      </w:tr>
      <w:tr w:rsidR="00131626" w:rsidRPr="0055442E" w:rsidTr="00131626">
        <w:trPr>
          <w:trHeight w:val="275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apel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 personil tingkat peleton</w:t>
            </w:r>
          </w:p>
        </w:tc>
      </w:tr>
      <w:tr w:rsidR="00131626" w:rsidRPr="0055442E" w:rsidTr="00131626">
        <w:trPr>
          <w:trHeight w:val="408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kebersihan unit, APD dan peralatan tingkat peleton</w:t>
            </w:r>
          </w:p>
        </w:tc>
      </w:tr>
      <w:tr w:rsidR="00131626" w:rsidRPr="0055442E" w:rsidTr="00131626">
        <w:trPr>
          <w:trHeight w:val="340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 w:line="240" w:lineRule="auto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pengaturan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penempatan kembali peralatan yang telah digunakan</w:t>
            </w:r>
          </w:p>
        </w:tc>
      </w:tr>
      <w:tr w:rsidR="00131626" w:rsidRPr="0055442E" w:rsidTr="00131626">
        <w:trPr>
          <w:trHeight w:val="268"/>
        </w:trPr>
        <w:tc>
          <w:tcPr>
            <w:tcW w:w="706" w:type="dxa"/>
            <w:tcBorders>
              <w:bottom w:val="single" w:sz="4" w:space="0" w:color="auto"/>
            </w:tcBorders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80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evakuasi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dan penyelamatan</w:t>
            </w:r>
          </w:p>
        </w:tc>
      </w:tr>
    </w:tbl>
    <w:p w:rsidR="004A361C" w:rsidRPr="0055442E" w:rsidRDefault="004A361C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A10383" w:rsidRPr="0055442E" w:rsidRDefault="00A10383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55442E" w:rsidTr="00A10383">
        <w:tc>
          <w:tcPr>
            <w:tcW w:w="445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5442E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55442E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55442E" w:rsidTr="006A28C8">
        <w:trPr>
          <w:trHeight w:val="268"/>
        </w:trPr>
        <w:tc>
          <w:tcPr>
            <w:tcW w:w="567" w:type="dxa"/>
          </w:tcPr>
          <w:p w:rsidR="00857D8C" w:rsidRPr="0055442E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55442E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55442E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55442E" w:rsidTr="000B3DEB">
        <w:trPr>
          <w:trHeight w:val="268"/>
        </w:trPr>
        <w:tc>
          <w:tcPr>
            <w:tcW w:w="56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55442E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268"/>
        </w:trPr>
        <w:tc>
          <w:tcPr>
            <w:tcW w:w="56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55442E" w:rsidTr="006A28C8">
        <w:trPr>
          <w:trHeight w:val="268"/>
        </w:trPr>
        <w:tc>
          <w:tcPr>
            <w:tcW w:w="567" w:type="dxa"/>
            <w:vAlign w:val="center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55442E" w:rsidRDefault="00A10383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:rsidR="00A12FB2" w:rsidRPr="0055442E" w:rsidRDefault="00A12FB2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55442E" w:rsidTr="004F2C53">
        <w:tc>
          <w:tcPr>
            <w:tcW w:w="424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7" w:type="dxa"/>
          </w:tcPr>
          <w:p w:rsidR="00A10383" w:rsidRPr="0055442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55442E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55442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5442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55442E" w:rsidTr="00D01ADB">
        <w:trPr>
          <w:trHeight w:val="69"/>
        </w:trPr>
        <w:tc>
          <w:tcPr>
            <w:tcW w:w="573" w:type="dxa"/>
            <w:vAlign w:val="center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55442E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D01ADB">
        <w:trPr>
          <w:trHeight w:val="69"/>
        </w:trPr>
        <w:tc>
          <w:tcPr>
            <w:tcW w:w="573" w:type="dxa"/>
            <w:vAlign w:val="center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55442E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55442E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55442E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55442E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55442E" w:rsidTr="006367DC">
        <w:trPr>
          <w:trHeight w:val="69"/>
        </w:trPr>
        <w:tc>
          <w:tcPr>
            <w:tcW w:w="573" w:type="dxa"/>
            <w:vAlign w:val="center"/>
          </w:tcPr>
          <w:p w:rsidR="00AF3478" w:rsidRPr="0055442E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55442E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55442E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55442E" w:rsidRDefault="006E525E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F663BE" w:rsidRPr="0055442E" w:rsidRDefault="00F663BE" w:rsidP="00F663BE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55442E" w:rsidTr="00F663BE">
        <w:tc>
          <w:tcPr>
            <w:tcW w:w="567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5442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55442E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5442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5442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Memverifikasi hasil pemeriksaan kelengkapan personil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apel pagi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serah terima tugas jaga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pemeriksaan peralatan unit mobil tingkat peleton</w:t>
            </w:r>
          </w:p>
        </w:tc>
      </w:tr>
      <w:tr w:rsidR="00431121" w:rsidRPr="0055442E" w:rsidTr="00505CF6">
        <w:trPr>
          <w:trHeight w:val="32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pengecekan peralatan unit mobil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Kelancaran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</w:p>
        </w:tc>
        <w:tc>
          <w:tcPr>
            <w:tcW w:w="7365" w:type="dxa"/>
          </w:tcPr>
          <w:p w:rsidR="00431121" w:rsidRPr="0055442E" w:rsidRDefault="00013BC0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Dokumen  sesuai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dengan form check list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piket sesuai dengan consignus jaga (tata kelola)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monitoring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kekuatan personil dan unit dalam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kelengkapan personil dalam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apel malam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peralatan unit mobil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peralatan unit mobi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kondisi unit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pelaksanaan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evaluasi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pelaksanaan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kegiatan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pengarahan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kegiatan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evaluasi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pelaksanaan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kegiatan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kegiatan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hasil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25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Dokumen hasil validasi informasi kejadian kebakaran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tindak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lanjut informasi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personil pada koordinasi antar regu lainnya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penggunaan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APD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peleton menuju ke tempat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personil pada koordinasi internal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pra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size up (penilaian awal situasi) pada saat di perjalanan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size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up (penilaian situasi) kondisi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n teknik taktik strategi operasional pemadaman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prosedur pemadaman dari sumber air ke titik api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peran dan tugas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penyerangan ke sumber api/penyalur suplai air antar unit/pengelolaan sumber air/logistik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kebutuhan unit operasional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pengerahan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unit operasional dan personil tambahan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dengan instansi terkait;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penerapan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prosedur kerja dan keselamatan seluruh anggota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42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Dokumen  perkembangan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situasi kondisi kejadian kebakaran kepada atasan;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Dokumen  laporan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pendataan di tempat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proses pendinginan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pelaksanaan Over Houl (pemeriksaan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dengan seksama) terhadap titik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hasil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over houl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laporan situasi akhir kondisi kebakaran;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 proses</w:t>
            </w:r>
            <w:proofErr w:type="gramEnd"/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 pengemasan peralatan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kelengkapan peralatan tingkat peleton;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apel pengecekan personil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kebersihan unit, APD dan peralatan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pengaturan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penempatan kembali peralatan yang telah digunakan;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Dokumen pasca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54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Dokumen  kejadian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</w:t>
            </w:r>
            <w:r w:rsidRPr="0055442E">
              <w:rPr>
                <w:rFonts w:ascii="Arial Narrow" w:hAnsi="Arial Narrow"/>
                <w:sz w:val="24"/>
                <w:szCs w:val="24"/>
              </w:rPr>
              <w:t>il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hasil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validasi </w:t>
            </w:r>
            <w:r w:rsidRPr="0055442E">
              <w:rPr>
                <w:rFonts w:ascii="Arial Narrow" w:hAnsi="Arial Narrow"/>
                <w:sz w:val="24"/>
                <w:szCs w:val="24"/>
              </w:rPr>
              <w:t xml:space="preserve">informasi kejadian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 kepada atasan;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ti</w:t>
            </w:r>
            <w:r w:rsidRPr="0055442E">
              <w:rPr>
                <w:rFonts w:ascii="Arial Narrow" w:hAnsi="Arial Narrow"/>
                <w:sz w:val="24"/>
                <w:szCs w:val="24"/>
              </w:rPr>
              <w:t xml:space="preserve">ndak lanjut informasi kejadian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antar regu dan peleton lainnya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pemakaian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APD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peleton menuju ke tempat evakuasi dan penyelamatan;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internal tingkat peleton;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pra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size up (penilaian awal situasi) pada 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aat di perjalanan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size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up (penilaian situasi) kondisi kejadian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teknik taktik strategi operasional evakuasi dan penyelamatan teknik taktik strategi operasional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prosedur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peran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dan tugas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kebutuhan unit operasional dan personil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69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pengerahan unit operasional dan personil tambahan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koordinasi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penerapan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prosedur kerja dan keselamatan seluruh anggota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perkembangan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situasi kondisi evakuasi dan penyelamatan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Over Houl (pemeriksaan dengan seksama) terhadap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pendataan di tempat kejadian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proses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pengemasan peralatan yang digunakan</w:t>
            </w:r>
          </w:p>
        </w:tc>
      </w:tr>
      <w:tr w:rsidR="00431121" w:rsidRPr="0055442E" w:rsidTr="00013BC0">
        <w:trPr>
          <w:trHeight w:val="537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kelengkapan peralatan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Dokumen  apel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pengecekan personil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proses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kebersihan unit, APD dan peralatan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 w:line="240" w:lineRule="auto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pengaturan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penempatan kembali peralatan yang telah digunakan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Dokumen  evakuasi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dan penyelamatan</w:t>
            </w:r>
          </w:p>
        </w:tc>
      </w:tr>
    </w:tbl>
    <w:p w:rsidR="00A12FB2" w:rsidRPr="0055442E" w:rsidRDefault="00A12FB2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55442E" w:rsidTr="000B3DEB">
        <w:tc>
          <w:tcPr>
            <w:tcW w:w="567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5442E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13BC0" w:rsidRPr="0055442E" w:rsidRDefault="00013BC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55442E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5442E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5442E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Meminta bimbingan dan petunjuk dari pimpinan dalam pelaksanaan tugas;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Menggunakan peralatan kerja untuk pelaksanaan tugas;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Memberikan bahan dan data untuk diproses.</w:t>
            </w:r>
          </w:p>
        </w:tc>
      </w:tr>
    </w:tbl>
    <w:p w:rsidR="006E525E" w:rsidRPr="0055442E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24"/>
          <w:szCs w:val="24"/>
        </w:rPr>
      </w:pPr>
    </w:p>
    <w:p w:rsidR="0082478D" w:rsidRPr="0055442E" w:rsidRDefault="0082478D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55442E" w:rsidTr="005A61AB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5442E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55442E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55442E" w:rsidTr="006A128B">
        <w:trPr>
          <w:trHeight w:val="432"/>
        </w:trPr>
        <w:tc>
          <w:tcPr>
            <w:tcW w:w="567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55442E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25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55442E" w:rsidTr="00E50669">
        <w:trPr>
          <w:trHeight w:val="129"/>
        </w:trPr>
        <w:tc>
          <w:tcPr>
            <w:tcW w:w="567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55442E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55442E" w:rsidTr="009169F6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5442E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55442E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55442E" w:rsidTr="009169F6">
        <w:trPr>
          <w:trHeight w:val="553"/>
        </w:trPr>
        <w:tc>
          <w:tcPr>
            <w:tcW w:w="567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55442E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55442E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CD451B" w:rsidRPr="0055442E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55442E" w:rsidTr="007E341C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5442E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55442E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55442E">
        <w:trPr>
          <w:trHeight w:val="307"/>
        </w:trPr>
        <w:tc>
          <w:tcPr>
            <w:tcW w:w="567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55442E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55442E">
        <w:trPr>
          <w:trHeight w:val="342"/>
        </w:trPr>
        <w:tc>
          <w:tcPr>
            <w:tcW w:w="567" w:type="dxa"/>
          </w:tcPr>
          <w:p w:rsidR="007A10C4" w:rsidRPr="0055442E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55442E">
        <w:trPr>
          <w:trHeight w:val="389"/>
        </w:trPr>
        <w:tc>
          <w:tcPr>
            <w:tcW w:w="567" w:type="dxa"/>
          </w:tcPr>
          <w:p w:rsidR="007A10C4" w:rsidRPr="0055442E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55442E">
        <w:trPr>
          <w:trHeight w:val="389"/>
        </w:trPr>
        <w:tc>
          <w:tcPr>
            <w:tcW w:w="567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CD451B" w:rsidRPr="0055442E" w:rsidRDefault="00CD451B" w:rsidP="00013BC0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CD451B" w:rsidRPr="0055442E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55442E" w:rsidTr="007E341C">
        <w:tc>
          <w:tcPr>
            <w:tcW w:w="567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612C" w:rsidRPr="0055442E" w:rsidTr="005327A9"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Kemampuan Kesiapsiagaan petugas </w:t>
            </w: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</w:rPr>
              <w:t>pemada  kebakaran</w:t>
            </w:r>
            <w:proofErr w:type="gramEnd"/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dan penyelamatan.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pelaksanaan prosedur pelaporan informasi penanggulangan kebakaran.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prosedur pelaporan informasi kejadian evakuai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11612C" w:rsidRPr="0055442E" w:rsidRDefault="0011612C" w:rsidP="007B4505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11612C" w:rsidRPr="0055442E" w:rsidRDefault="0011612C" w:rsidP="007B4505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5442E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55442E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5442E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55442E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55442E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5442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FC68AE" w:rsidRPr="0055442E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55442E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55442E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B101C7" w:rsidRPr="0055442E" w:rsidTr="006A128B">
        <w:trPr>
          <w:trHeight w:val="85"/>
        </w:trPr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55442E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64644E">
        <w:trPr>
          <w:trHeight w:val="310"/>
        </w:trPr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55442E" w:rsidRDefault="00804681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55442E" w:rsidRPr="0055442E" w:rsidRDefault="0055442E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5442E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55442E" w:rsidRDefault="00DB2814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5442E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5442E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  <w:p w:rsidR="00DB2814" w:rsidRPr="0055442E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55442E" w:rsidTr="005C7E9A">
        <w:tc>
          <w:tcPr>
            <w:tcW w:w="588" w:type="dxa"/>
            <w:gridSpan w:val="2"/>
          </w:tcPr>
          <w:p w:rsidR="005C7E9A" w:rsidRPr="0055442E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55442E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55442E" w:rsidTr="00C1410F">
        <w:tc>
          <w:tcPr>
            <w:tcW w:w="588" w:type="dxa"/>
            <w:gridSpan w:val="2"/>
          </w:tcPr>
          <w:p w:rsidR="005C7E9A" w:rsidRPr="0055442E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55442E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55442E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p w:rsidR="008B010A" w:rsidRPr="0055442E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55442E" w:rsidTr="005C7E9A">
        <w:tc>
          <w:tcPr>
            <w:tcW w:w="567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55442E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C7E9A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55442E" w:rsidRDefault="00013BC0" w:rsidP="00505C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8 (delapan)</w:t>
            </w:r>
          </w:p>
        </w:tc>
      </w:tr>
    </w:tbl>
    <w:p w:rsidR="008B010A" w:rsidRPr="0055442E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55442E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5442E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E45" w:rsidRDefault="00085E45">
      <w:pPr>
        <w:spacing w:after="0" w:line="240" w:lineRule="auto"/>
      </w:pPr>
      <w:r>
        <w:separator/>
      </w:r>
    </w:p>
  </w:endnote>
  <w:endnote w:type="continuationSeparator" w:id="0">
    <w:p w:rsidR="00085E45" w:rsidRDefault="00085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536930" w:rsidRDefault="00536930">
        <w:pPr>
          <w:pStyle w:val="Footer"/>
          <w:jc w:val="center"/>
          <w:rPr>
            <w:color w:val="FFFFFF" w:themeColor="background1"/>
          </w:rPr>
        </w:pPr>
      </w:p>
      <w:p w:rsidR="00536930" w:rsidRDefault="00085E45">
        <w:pPr>
          <w:pStyle w:val="Footer"/>
          <w:jc w:val="center"/>
        </w:pPr>
      </w:p>
    </w:sdtContent>
  </w:sdt>
  <w:p w:rsidR="00536930" w:rsidRDefault="005369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E45" w:rsidRDefault="00085E45">
      <w:pPr>
        <w:spacing w:after="0" w:line="240" w:lineRule="auto"/>
      </w:pPr>
      <w:r>
        <w:separator/>
      </w:r>
    </w:p>
  </w:footnote>
  <w:footnote w:type="continuationSeparator" w:id="0">
    <w:p w:rsidR="00085E45" w:rsidRDefault="00085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36930">
      <w:tc>
        <w:tcPr>
          <w:tcW w:w="7861" w:type="dxa"/>
          <w:tcBorders>
            <w:top w:val="single" w:sz="4" w:space="0" w:color="000000" w:themeColor="text1"/>
          </w:tcBorders>
        </w:tcPr>
        <w:p w:rsidR="00536930" w:rsidRPr="00CD451B" w:rsidRDefault="00536930">
          <w:pPr>
            <w:pStyle w:val="Footer"/>
            <w:wordWrap w:val="0"/>
            <w:jc w:val="right"/>
            <w:rPr>
              <w:b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</w:t>
          </w:r>
          <w:proofErr w:type="gramEnd"/>
          <w:r>
            <w:rPr>
              <w:b/>
            </w:rPr>
            <w:t xml:space="preserve"> LUWU TIMUR</w:t>
          </w:r>
        </w:p>
        <w:p w:rsidR="002C772A" w:rsidRDefault="00536930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536930" w:rsidRDefault="002C772A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</w:t>
          </w:r>
          <w:r>
            <w:rPr>
              <w:b/>
              <w:lang w:val="id-ID"/>
            </w:rPr>
            <w:t xml:space="preserve">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36930" w:rsidRDefault="00536930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36930" w:rsidRDefault="00536930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36930">
      <w:tc>
        <w:tcPr>
          <w:tcW w:w="7861" w:type="dxa"/>
          <w:tcBorders>
            <w:top w:val="single" w:sz="4" w:space="0" w:color="000000" w:themeColor="text1"/>
          </w:tcBorders>
        </w:tcPr>
        <w:p w:rsidR="00536930" w:rsidRPr="008601EF" w:rsidRDefault="00536930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2C772A" w:rsidRDefault="00536930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536930" w:rsidRDefault="002C772A" w:rsidP="002C772A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</w:t>
          </w:r>
          <w:r>
            <w:rPr>
              <w:b/>
              <w:lang w:val="id-ID"/>
            </w:rPr>
            <w:t xml:space="preserve"> </w:t>
          </w:r>
          <w:r w:rsidR="00536930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36930" w:rsidRDefault="00536930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36930" w:rsidRDefault="005369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3BC0"/>
    <w:rsid w:val="000146A7"/>
    <w:rsid w:val="000157AF"/>
    <w:rsid w:val="000178A4"/>
    <w:rsid w:val="00021633"/>
    <w:rsid w:val="000217EF"/>
    <w:rsid w:val="00022422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5628A"/>
    <w:rsid w:val="0006114A"/>
    <w:rsid w:val="00062768"/>
    <w:rsid w:val="00072A5E"/>
    <w:rsid w:val="00073378"/>
    <w:rsid w:val="0008442A"/>
    <w:rsid w:val="00085E45"/>
    <w:rsid w:val="00086C63"/>
    <w:rsid w:val="000903C7"/>
    <w:rsid w:val="000A3271"/>
    <w:rsid w:val="000A411F"/>
    <w:rsid w:val="000B3DEB"/>
    <w:rsid w:val="000C18CC"/>
    <w:rsid w:val="000C4741"/>
    <w:rsid w:val="000C4F9C"/>
    <w:rsid w:val="000D2F2C"/>
    <w:rsid w:val="000D79D3"/>
    <w:rsid w:val="000F2F30"/>
    <w:rsid w:val="000F45DC"/>
    <w:rsid w:val="000F6FBE"/>
    <w:rsid w:val="00110647"/>
    <w:rsid w:val="001154B1"/>
    <w:rsid w:val="0011612C"/>
    <w:rsid w:val="001222A6"/>
    <w:rsid w:val="0013162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0B34"/>
    <w:rsid w:val="001E1662"/>
    <w:rsid w:val="001E4838"/>
    <w:rsid w:val="001E7453"/>
    <w:rsid w:val="001F053A"/>
    <w:rsid w:val="001F1495"/>
    <w:rsid w:val="001F491D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A09C0"/>
    <w:rsid w:val="002A108E"/>
    <w:rsid w:val="002A575D"/>
    <w:rsid w:val="002A6098"/>
    <w:rsid w:val="002B094D"/>
    <w:rsid w:val="002C772A"/>
    <w:rsid w:val="002D021F"/>
    <w:rsid w:val="002D2656"/>
    <w:rsid w:val="002D3AAD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5F7F"/>
    <w:rsid w:val="003502A0"/>
    <w:rsid w:val="00357CC4"/>
    <w:rsid w:val="00357E20"/>
    <w:rsid w:val="00364898"/>
    <w:rsid w:val="0037037C"/>
    <w:rsid w:val="00375756"/>
    <w:rsid w:val="003769E6"/>
    <w:rsid w:val="003836FB"/>
    <w:rsid w:val="0038636D"/>
    <w:rsid w:val="00387757"/>
    <w:rsid w:val="003A0998"/>
    <w:rsid w:val="003A2F30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1121"/>
    <w:rsid w:val="0043481E"/>
    <w:rsid w:val="00435C0E"/>
    <w:rsid w:val="00442D11"/>
    <w:rsid w:val="00453C32"/>
    <w:rsid w:val="00462212"/>
    <w:rsid w:val="0046289B"/>
    <w:rsid w:val="00472D4B"/>
    <w:rsid w:val="004745C1"/>
    <w:rsid w:val="00480E10"/>
    <w:rsid w:val="004919C3"/>
    <w:rsid w:val="004923A0"/>
    <w:rsid w:val="00493174"/>
    <w:rsid w:val="004964EC"/>
    <w:rsid w:val="004A2F28"/>
    <w:rsid w:val="004A3232"/>
    <w:rsid w:val="004A361C"/>
    <w:rsid w:val="004A3C8D"/>
    <w:rsid w:val="004B4F72"/>
    <w:rsid w:val="004B61BC"/>
    <w:rsid w:val="004C7C7B"/>
    <w:rsid w:val="004D38E9"/>
    <w:rsid w:val="004E2270"/>
    <w:rsid w:val="004F041A"/>
    <w:rsid w:val="004F2C53"/>
    <w:rsid w:val="004F3400"/>
    <w:rsid w:val="00505CF6"/>
    <w:rsid w:val="00521088"/>
    <w:rsid w:val="005232CC"/>
    <w:rsid w:val="00530339"/>
    <w:rsid w:val="0053097D"/>
    <w:rsid w:val="00531E4A"/>
    <w:rsid w:val="005327A9"/>
    <w:rsid w:val="00536930"/>
    <w:rsid w:val="00541BC1"/>
    <w:rsid w:val="0054610D"/>
    <w:rsid w:val="00553869"/>
    <w:rsid w:val="0055442E"/>
    <w:rsid w:val="005613B0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774"/>
    <w:rsid w:val="005E3662"/>
    <w:rsid w:val="005E5D58"/>
    <w:rsid w:val="005F0FD2"/>
    <w:rsid w:val="00602837"/>
    <w:rsid w:val="00603799"/>
    <w:rsid w:val="00604208"/>
    <w:rsid w:val="00604BF7"/>
    <w:rsid w:val="00605516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67465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234B"/>
    <w:rsid w:val="007C3220"/>
    <w:rsid w:val="007C6619"/>
    <w:rsid w:val="007C7FA7"/>
    <w:rsid w:val="007D0323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0736D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678F"/>
    <w:rsid w:val="00857D8C"/>
    <w:rsid w:val="008601EF"/>
    <w:rsid w:val="00866734"/>
    <w:rsid w:val="00870B7C"/>
    <w:rsid w:val="00874C44"/>
    <w:rsid w:val="0088201C"/>
    <w:rsid w:val="00882BC8"/>
    <w:rsid w:val="00883F35"/>
    <w:rsid w:val="00884BC8"/>
    <w:rsid w:val="00885446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8F307B"/>
    <w:rsid w:val="00900F3B"/>
    <w:rsid w:val="0091328A"/>
    <w:rsid w:val="00915A45"/>
    <w:rsid w:val="009169F6"/>
    <w:rsid w:val="00917B81"/>
    <w:rsid w:val="00922D05"/>
    <w:rsid w:val="00922F58"/>
    <w:rsid w:val="00923C08"/>
    <w:rsid w:val="00927CB0"/>
    <w:rsid w:val="00943A8D"/>
    <w:rsid w:val="009451FD"/>
    <w:rsid w:val="00947CE4"/>
    <w:rsid w:val="0095112C"/>
    <w:rsid w:val="00964D29"/>
    <w:rsid w:val="00974B6A"/>
    <w:rsid w:val="00985CB2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9D8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10DA"/>
    <w:rsid w:val="00AB3DFB"/>
    <w:rsid w:val="00AC5121"/>
    <w:rsid w:val="00AC643F"/>
    <w:rsid w:val="00AD7A7C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A3D03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60EB"/>
    <w:rsid w:val="00C6188D"/>
    <w:rsid w:val="00C73A83"/>
    <w:rsid w:val="00C7416A"/>
    <w:rsid w:val="00C746F0"/>
    <w:rsid w:val="00C91EE9"/>
    <w:rsid w:val="00C93DAC"/>
    <w:rsid w:val="00CB40ED"/>
    <w:rsid w:val="00CD02DF"/>
    <w:rsid w:val="00CD451B"/>
    <w:rsid w:val="00CE174B"/>
    <w:rsid w:val="00CE251A"/>
    <w:rsid w:val="00CE2946"/>
    <w:rsid w:val="00CE2B54"/>
    <w:rsid w:val="00CE4BC1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B36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82C42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059E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0686B99F-1824-4A63-9338-77154259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65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1"/>
    <w:rsid w:val="00AC643F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1"/>
    <w:rsid w:val="000C18CC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10008F-AF7B-4DD3-9907-7770F75A8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20</Pages>
  <Words>3643</Words>
  <Characters>20767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22</cp:revision>
  <cp:lastPrinted>2022-01-06T07:07:00Z</cp:lastPrinted>
  <dcterms:created xsi:type="dcterms:W3CDTF">2024-06-12T05:50:00Z</dcterms:created>
  <dcterms:modified xsi:type="dcterms:W3CDTF">2025-06-17T07:56:00Z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